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63"/>
        <w:tblOverlap w:val="never"/>
        <w:tblW w:w="90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080"/>
        <w:gridCol w:w="1830"/>
        <w:gridCol w:w="765"/>
        <w:gridCol w:w="765"/>
        <w:gridCol w:w="27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新媒体名称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创建时间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人员情况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变更后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管理人员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2280" w:firstLineChars="950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部门负责人签字（盖章）：</w:t>
            </w:r>
          </w:p>
          <w:p>
            <w:pPr>
              <w:widowControl/>
              <w:ind w:firstLine="2280" w:firstLineChars="950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5520" w:firstLineChars="2300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宣传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确认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签章：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9087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注：1.此表一式两份，宣传部、申请单位各一份；2.账号名、管理队伍人员或维护方式发生变更，应及时以书面形式报宣传部备案。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江苏食品药品职业技术学院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br w:type="textWrapping"/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校园新媒体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 w:bidi="ar"/>
        </w:rPr>
        <w:t>管理人员变更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备案登记表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E2AF7"/>
    <w:rsid w:val="512A46F2"/>
    <w:rsid w:val="5E6E2AF7"/>
    <w:rsid w:val="6D535020"/>
    <w:rsid w:val="7D6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2018-03-22T01:28:00Z</dcterms:created>
  <dc:creator>茗烟</dc:creator>
  <cp:lastModifiedBy>茗烟</cp:lastModifiedBy>
  <dcterms:modified xsi:type="dcterms:W3CDTF">2018-03-22T02:38:20Z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